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253"/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8232"/>
      </w:tblGrid>
      <w:tr w:rsidR="00417B20" w:rsidTr="007D3020">
        <w:trPr>
          <w:cantSplit/>
          <w:trHeight w:val="698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B20" w:rsidRDefault="00417B20" w:rsidP="00417B2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E9F55EF" wp14:editId="41B0ACEE">
                  <wp:extent cx="1581150" cy="1581150"/>
                  <wp:effectExtent l="0" t="0" r="0" b="0"/>
                  <wp:docPr id="4" name="Image 4" descr="Z:\modèles et logos\logo SUD santé sociaux\logo papier à let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modèles et logos\logo SUD santé sociaux\logo papier à let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020" w:rsidRDefault="007D3020" w:rsidP="000F38A1">
            <w:pPr>
              <w:jc w:val="center"/>
              <w:rPr>
                <w:b/>
                <w:color w:val="FF0000"/>
                <w:sz w:val="72"/>
                <w:szCs w:val="72"/>
              </w:rPr>
            </w:pPr>
          </w:p>
          <w:p w:rsidR="007D3020" w:rsidRPr="008E3E14" w:rsidRDefault="000F38A1" w:rsidP="007D3020">
            <w:pPr>
              <w:jc w:val="center"/>
              <w:rPr>
                <w:b/>
                <w:sz w:val="72"/>
                <w:szCs w:val="72"/>
              </w:rPr>
            </w:pPr>
            <w:r w:rsidRPr="008E3E14">
              <w:rPr>
                <w:b/>
                <w:sz w:val="72"/>
                <w:szCs w:val="72"/>
              </w:rPr>
              <w:t>CGOS :</w:t>
            </w:r>
          </w:p>
          <w:p w:rsidR="00417B20" w:rsidRPr="008E3E14" w:rsidRDefault="007D3020" w:rsidP="000F38A1">
            <w:pPr>
              <w:jc w:val="center"/>
              <w:rPr>
                <w:b/>
                <w:sz w:val="44"/>
                <w:szCs w:val="44"/>
              </w:rPr>
            </w:pPr>
            <w:r w:rsidRPr="008E3E14">
              <w:rPr>
                <w:b/>
                <w:sz w:val="44"/>
                <w:szCs w:val="44"/>
              </w:rPr>
              <w:t>Comité de Gestion des Œuvres Sociales</w:t>
            </w:r>
          </w:p>
          <w:p w:rsidR="000F38A1" w:rsidRPr="008E3E14" w:rsidRDefault="000F38A1" w:rsidP="000F38A1">
            <w:pPr>
              <w:jc w:val="center"/>
              <w:rPr>
                <w:b/>
                <w:sz w:val="52"/>
                <w:szCs w:val="52"/>
              </w:rPr>
            </w:pPr>
            <w:r w:rsidRPr="008E3E14">
              <w:rPr>
                <w:b/>
                <w:sz w:val="52"/>
                <w:szCs w:val="52"/>
              </w:rPr>
              <w:t>A chacun sa version</w:t>
            </w:r>
          </w:p>
          <w:p w:rsidR="00417B20" w:rsidRPr="000B71E4" w:rsidRDefault="00417B20" w:rsidP="00417B20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417B20" w:rsidTr="007D3020">
        <w:trPr>
          <w:cantSplit/>
          <w:trHeight w:val="64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B20" w:rsidRDefault="00417B20" w:rsidP="00417B20">
            <w:pPr>
              <w:jc w:val="center"/>
            </w:pPr>
          </w:p>
          <w:p w:rsidR="00417B20" w:rsidRDefault="00417B20" w:rsidP="00417B2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7A0FF90" wp14:editId="76791CC3">
                  <wp:extent cx="1152000" cy="4010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olidair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4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7B20" w:rsidRDefault="00417B20" w:rsidP="00417B20">
            <w:pPr>
              <w:jc w:val="center"/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7D3020" w:rsidRDefault="007D3020" w:rsidP="007D3020">
            <w:pPr>
              <w:pStyle w:val="Sansinterligne"/>
              <w:ind w:left="227"/>
              <w:rPr>
                <w:b/>
                <w:i/>
                <w:sz w:val="24"/>
                <w:szCs w:val="24"/>
              </w:rPr>
            </w:pPr>
          </w:p>
          <w:p w:rsidR="007D3020" w:rsidRDefault="007D3020" w:rsidP="007D3020">
            <w:pPr>
              <w:pStyle w:val="Sansinterligne"/>
              <w:ind w:left="227"/>
              <w:rPr>
                <w:b/>
                <w:i/>
                <w:sz w:val="24"/>
                <w:szCs w:val="24"/>
              </w:rPr>
            </w:pPr>
          </w:p>
          <w:p w:rsidR="007D3020" w:rsidRDefault="007D3020" w:rsidP="007D3020">
            <w:pPr>
              <w:pStyle w:val="Sansinterligne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</w:t>
            </w:r>
            <w:r w:rsidR="000F38A1">
              <w:rPr>
                <w:b/>
                <w:i/>
                <w:sz w:val="24"/>
                <w:szCs w:val="24"/>
              </w:rPr>
              <w:t xml:space="preserve">L’assemblée générale </w:t>
            </w:r>
            <w:r w:rsidR="00417B20" w:rsidRPr="004F078E">
              <w:rPr>
                <w:b/>
                <w:i/>
                <w:sz w:val="24"/>
                <w:szCs w:val="24"/>
              </w:rPr>
              <w:t>réun</w:t>
            </w:r>
            <w:r w:rsidR="000F38A1">
              <w:rPr>
                <w:b/>
                <w:i/>
                <w:sz w:val="24"/>
                <w:szCs w:val="24"/>
              </w:rPr>
              <w:t>ie à PARIS le 15 juin 2017</w:t>
            </w:r>
            <w:r w:rsidR="00417B20" w:rsidRPr="004F078E">
              <w:rPr>
                <w:b/>
                <w:i/>
                <w:sz w:val="24"/>
                <w:szCs w:val="24"/>
              </w:rPr>
              <w:t xml:space="preserve"> a </w:t>
            </w:r>
            <w:r>
              <w:rPr>
                <w:b/>
                <w:i/>
                <w:sz w:val="24"/>
                <w:szCs w:val="24"/>
              </w:rPr>
              <w:t>pris des positions face</w:t>
            </w:r>
          </w:p>
          <w:p w:rsidR="00417B20" w:rsidRDefault="000F38A1" w:rsidP="007D3020">
            <w:pPr>
              <w:pStyle w:val="Sansinterligne"/>
              <w:ind w:left="227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aux difficultés financières que rencontre l’association</w:t>
            </w:r>
            <w:r w:rsidR="001C4F7A">
              <w:rPr>
                <w:b/>
                <w:i/>
                <w:sz w:val="24"/>
                <w:szCs w:val="24"/>
              </w:rPr>
              <w:t>,</w:t>
            </w:r>
            <w:r>
              <w:rPr>
                <w:b/>
                <w:i/>
                <w:sz w:val="24"/>
                <w:szCs w:val="24"/>
              </w:rPr>
              <w:t xml:space="preserve"> mais auss</w:t>
            </w:r>
            <w:r w:rsidR="00B8420D">
              <w:rPr>
                <w:b/>
                <w:i/>
                <w:sz w:val="24"/>
                <w:szCs w:val="24"/>
              </w:rPr>
              <w:t>i politiques pour être en phase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A13142">
              <w:rPr>
                <w:b/>
                <w:i/>
                <w:sz w:val="24"/>
                <w:szCs w:val="24"/>
              </w:rPr>
              <w:t>avec les orientations de nos gouvernants.</w:t>
            </w:r>
          </w:p>
          <w:p w:rsidR="00A13142" w:rsidRDefault="00A13142" w:rsidP="00D12803">
            <w:pPr>
              <w:pStyle w:val="Sansinterligne"/>
              <w:ind w:left="227"/>
              <w:jc w:val="both"/>
              <w:rPr>
                <w:b/>
                <w:i/>
                <w:sz w:val="24"/>
                <w:szCs w:val="24"/>
              </w:rPr>
            </w:pPr>
          </w:p>
          <w:p w:rsidR="00A13142" w:rsidRDefault="00A13142" w:rsidP="00D12803">
            <w:pPr>
              <w:pStyle w:val="Sansinterligne"/>
              <w:ind w:left="227"/>
              <w:jc w:val="both"/>
              <w:rPr>
                <w:b/>
                <w:i/>
                <w:sz w:val="24"/>
                <w:szCs w:val="24"/>
              </w:rPr>
            </w:pPr>
          </w:p>
          <w:p w:rsidR="00A13142" w:rsidRPr="00D12803" w:rsidRDefault="00A13142" w:rsidP="00D12803">
            <w:pPr>
              <w:pStyle w:val="Sansinterligne"/>
              <w:ind w:left="227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417B20" w:rsidTr="007D3020">
        <w:trPr>
          <w:cantSplit/>
          <w:trHeight w:val="53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B20" w:rsidRPr="00FD2ED4" w:rsidRDefault="001C4F7A" w:rsidP="00417B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</w:tr>
    </w:tbl>
    <w:p w:rsidR="00C22DC0" w:rsidRPr="00417B20" w:rsidRDefault="00C22DC0" w:rsidP="00417B20">
      <w:pPr>
        <w:sectPr w:rsidR="00C22DC0" w:rsidRPr="00417B20" w:rsidSect="0093581D">
          <w:footerReference w:type="first" r:id="rId11"/>
          <w:pgSz w:w="11906" w:h="16838"/>
          <w:pgMar w:top="454" w:right="720" w:bottom="720" w:left="720" w:header="0" w:footer="170" w:gutter="0"/>
          <w:cols w:space="708"/>
          <w:titlePg/>
          <w:docGrid w:linePitch="360"/>
        </w:sectPr>
      </w:pPr>
    </w:p>
    <w:p w:rsidR="00A13142" w:rsidRPr="008E3E14" w:rsidRDefault="001C4F7A" w:rsidP="007D3020">
      <w:pPr>
        <w:pStyle w:val="Sansinterligne"/>
        <w:jc w:val="both"/>
        <w:rPr>
          <w:rFonts w:cstheme="minorHAnsi"/>
          <w:b/>
        </w:rPr>
      </w:pPr>
      <w:r w:rsidRPr="008E3E14">
        <w:rPr>
          <w:rFonts w:cstheme="minorHAnsi"/>
          <w:b/>
        </w:rPr>
        <w:lastRenderedPageBreak/>
        <w:t>Le</w:t>
      </w:r>
      <w:r w:rsidR="00A13142" w:rsidRPr="008E3E14">
        <w:rPr>
          <w:rFonts w:cstheme="minorHAnsi"/>
          <w:b/>
        </w:rPr>
        <w:t xml:space="preserve"> CGOS doit à la fois</w:t>
      </w:r>
      <w:r w:rsidR="007E28EA" w:rsidRPr="008E3E14">
        <w:rPr>
          <w:rFonts w:cstheme="minorHAnsi"/>
          <w:b/>
        </w:rPr>
        <w:t xml:space="preserve"> gérer un budget déficitaire et</w:t>
      </w:r>
      <w:r w:rsidRPr="008E3E14">
        <w:rPr>
          <w:rFonts w:cstheme="minorHAnsi"/>
          <w:b/>
        </w:rPr>
        <w:t xml:space="preserve"> </w:t>
      </w:r>
      <w:r w:rsidR="00A13142" w:rsidRPr="008E3E14">
        <w:rPr>
          <w:rFonts w:cstheme="minorHAnsi"/>
          <w:b/>
        </w:rPr>
        <w:t>des bouleversements engendré</w:t>
      </w:r>
      <w:r w:rsidR="00A570F6" w:rsidRPr="008E3E14">
        <w:rPr>
          <w:rFonts w:cstheme="minorHAnsi"/>
          <w:b/>
        </w:rPr>
        <w:t>s</w:t>
      </w:r>
      <w:r w:rsidR="00A13142" w:rsidRPr="008E3E14">
        <w:rPr>
          <w:rFonts w:cstheme="minorHAnsi"/>
          <w:b/>
        </w:rPr>
        <w:t xml:space="preserve"> par des choix politiques au sommet de l’état.</w:t>
      </w:r>
    </w:p>
    <w:p w:rsidR="001C4F7A" w:rsidRPr="008E3E14" w:rsidRDefault="001C4F7A" w:rsidP="007D3020">
      <w:pPr>
        <w:pStyle w:val="Sansinterligne"/>
        <w:jc w:val="both"/>
        <w:rPr>
          <w:rFonts w:cstheme="minorHAnsi"/>
          <w:b/>
        </w:rPr>
      </w:pPr>
      <w:r w:rsidRPr="008E3E14">
        <w:rPr>
          <w:rFonts w:cstheme="minorHAnsi"/>
          <w:b/>
        </w:rPr>
        <w:t>Dans les instances, chacun doit se positionner !!</w:t>
      </w:r>
    </w:p>
    <w:p w:rsidR="000F1F21" w:rsidRPr="008E3E14" w:rsidRDefault="000F1F21" w:rsidP="007D3020">
      <w:pPr>
        <w:pStyle w:val="Sansinterligne"/>
        <w:jc w:val="both"/>
        <w:rPr>
          <w:rFonts w:cstheme="minorHAnsi"/>
          <w:b/>
        </w:rPr>
      </w:pPr>
    </w:p>
    <w:p w:rsidR="00E82F28" w:rsidRPr="00620C7C" w:rsidRDefault="00E82F28" w:rsidP="007D3020">
      <w:pPr>
        <w:pStyle w:val="Sansinterligne"/>
        <w:jc w:val="both"/>
        <w:rPr>
          <w:rFonts w:cstheme="minorHAnsi"/>
        </w:rPr>
      </w:pPr>
      <w:r w:rsidRPr="00620C7C">
        <w:rPr>
          <w:rFonts w:cstheme="minorHAnsi"/>
        </w:rPr>
        <w:t xml:space="preserve">La contribution que verse les établissements adhérents au CGOS est de 1,5% de la masse salariale plafonnée à l’indice </w:t>
      </w:r>
      <w:r w:rsidRPr="00620C7C">
        <w:rPr>
          <w:rFonts w:cstheme="minorHAnsi"/>
          <w:b/>
        </w:rPr>
        <w:t>489 </w:t>
      </w:r>
      <w:r w:rsidRPr="00620C7C">
        <w:rPr>
          <w:rFonts w:cstheme="minorHAnsi"/>
        </w:rPr>
        <w:t>!!</w:t>
      </w:r>
      <w:bookmarkStart w:id="0" w:name="_GoBack"/>
      <w:bookmarkEnd w:id="0"/>
    </w:p>
    <w:p w:rsidR="00E82F28" w:rsidRPr="00620C7C" w:rsidRDefault="00E82F28" w:rsidP="007D3020">
      <w:pPr>
        <w:pStyle w:val="Sansinterligne"/>
        <w:jc w:val="both"/>
        <w:rPr>
          <w:rFonts w:cstheme="minorHAnsi"/>
        </w:rPr>
      </w:pPr>
      <w:r w:rsidRPr="00620C7C">
        <w:rPr>
          <w:rFonts w:cstheme="minorHAnsi"/>
        </w:rPr>
        <w:t>L’évolution de cette contribution est à la baisse et devrait continuer de baisser puisque</w:t>
      </w:r>
      <w:r w:rsidR="00BF36DE" w:rsidRPr="00620C7C">
        <w:rPr>
          <w:rFonts w:cstheme="minorHAnsi"/>
        </w:rPr>
        <w:t>,</w:t>
      </w:r>
      <w:r w:rsidRPr="00620C7C">
        <w:rPr>
          <w:rFonts w:cstheme="minorHAnsi"/>
        </w:rPr>
        <w:t xml:space="preserve"> pour la première fois depuis de nombreuses années</w:t>
      </w:r>
      <w:r w:rsidR="00BF36DE" w:rsidRPr="00620C7C">
        <w:rPr>
          <w:rFonts w:cstheme="minorHAnsi"/>
        </w:rPr>
        <w:t>,</w:t>
      </w:r>
      <w:r w:rsidRPr="00620C7C">
        <w:rPr>
          <w:rFonts w:cstheme="minorHAnsi"/>
        </w:rPr>
        <w:t xml:space="preserve"> la masse salariale de nos établissements est en diminution. Cela devrait d’ailleurs s’accentuer à coup de plan de retour à l’équilibre, de regroupement d’établissements et</w:t>
      </w:r>
      <w:r w:rsidR="00BF36DE" w:rsidRPr="00620C7C">
        <w:rPr>
          <w:rFonts w:cstheme="minorHAnsi"/>
        </w:rPr>
        <w:t xml:space="preserve"> de</w:t>
      </w:r>
      <w:r w:rsidRPr="00620C7C">
        <w:rPr>
          <w:rFonts w:cstheme="minorHAnsi"/>
        </w:rPr>
        <w:t xml:space="preserve"> non remplacement de fonctionnaires.</w:t>
      </w:r>
    </w:p>
    <w:p w:rsidR="001C4F7A" w:rsidRPr="00620C7C" w:rsidRDefault="001C4F7A" w:rsidP="007D3020">
      <w:pPr>
        <w:pStyle w:val="Sansinterligne"/>
        <w:jc w:val="both"/>
        <w:rPr>
          <w:rFonts w:cstheme="minorHAnsi"/>
        </w:rPr>
      </w:pPr>
      <w:r w:rsidRPr="00620C7C">
        <w:rPr>
          <w:rFonts w:cstheme="minorHAnsi"/>
        </w:rPr>
        <w:t>Le CGOS</w:t>
      </w:r>
      <w:r w:rsidR="007D3020">
        <w:rPr>
          <w:rFonts w:cstheme="minorHAnsi"/>
        </w:rPr>
        <w:t>,</w:t>
      </w:r>
      <w:r w:rsidRPr="00620C7C">
        <w:rPr>
          <w:rFonts w:cstheme="minorHAnsi"/>
        </w:rPr>
        <w:t xml:space="preserve"> après avoir connu des années </w:t>
      </w:r>
      <w:r w:rsidR="007D3020">
        <w:rPr>
          <w:rFonts w:cstheme="minorHAnsi"/>
        </w:rPr>
        <w:t xml:space="preserve">budgétaires </w:t>
      </w:r>
      <w:r w:rsidRPr="00620C7C">
        <w:rPr>
          <w:rFonts w:cstheme="minorHAnsi"/>
        </w:rPr>
        <w:t>très sereines voire excédentaires</w:t>
      </w:r>
      <w:r w:rsidR="007D3020">
        <w:rPr>
          <w:rFonts w:cstheme="minorHAnsi"/>
        </w:rPr>
        <w:t>,</w:t>
      </w:r>
      <w:r w:rsidRPr="00620C7C">
        <w:rPr>
          <w:rFonts w:cstheme="minorHAnsi"/>
        </w:rPr>
        <w:t xml:space="preserve"> est confronté à des difficultés financières</w:t>
      </w:r>
      <w:r w:rsidR="00BF36DE" w:rsidRPr="00620C7C">
        <w:rPr>
          <w:rFonts w:cstheme="minorHAnsi"/>
        </w:rPr>
        <w:t xml:space="preserve"> graves</w:t>
      </w:r>
      <w:r w:rsidRPr="00620C7C">
        <w:rPr>
          <w:rFonts w:cstheme="minorHAnsi"/>
        </w:rPr>
        <w:t xml:space="preserve"> qui ne font que s’accentuer e</w:t>
      </w:r>
      <w:r w:rsidR="00B07694" w:rsidRPr="00620C7C">
        <w:rPr>
          <w:rFonts w:cstheme="minorHAnsi"/>
        </w:rPr>
        <w:t>n</w:t>
      </w:r>
      <w:r w:rsidRPr="00620C7C">
        <w:rPr>
          <w:rFonts w:cstheme="minorHAnsi"/>
        </w:rPr>
        <w:t xml:space="preserve"> </w:t>
      </w:r>
      <w:r w:rsidR="00B07694" w:rsidRPr="00620C7C">
        <w:rPr>
          <w:rFonts w:cstheme="minorHAnsi"/>
        </w:rPr>
        <w:t>raison des</w:t>
      </w:r>
      <w:r w:rsidRPr="00620C7C">
        <w:rPr>
          <w:rFonts w:cstheme="minorHAnsi"/>
        </w:rPr>
        <w:t xml:space="preserve"> </w:t>
      </w:r>
      <w:r w:rsidR="007E28EA" w:rsidRPr="00620C7C">
        <w:rPr>
          <w:rFonts w:cstheme="minorHAnsi"/>
        </w:rPr>
        <w:t>besoins grandissants des agents</w:t>
      </w:r>
    </w:p>
    <w:p w:rsidR="00B07694" w:rsidRPr="00620C7C" w:rsidRDefault="00B07694" w:rsidP="007D3020">
      <w:pPr>
        <w:pStyle w:val="Sansinterligne"/>
        <w:numPr>
          <w:ilvl w:val="0"/>
          <w:numId w:val="2"/>
        </w:numPr>
        <w:jc w:val="both"/>
        <w:rPr>
          <w:rFonts w:cstheme="minorHAnsi"/>
        </w:rPr>
      </w:pPr>
      <w:r w:rsidRPr="00620C7C">
        <w:rPr>
          <w:rFonts w:cstheme="minorHAnsi"/>
        </w:rPr>
        <w:t xml:space="preserve">La prestation </w:t>
      </w:r>
      <w:r w:rsidR="00BC408D" w:rsidRPr="00620C7C">
        <w:rPr>
          <w:rFonts w:cstheme="minorHAnsi"/>
        </w:rPr>
        <w:t>maladie (</w:t>
      </w:r>
      <w:r w:rsidR="00EF2ABA" w:rsidRPr="00620C7C">
        <w:rPr>
          <w:rFonts w:cstheme="minorHAnsi"/>
        </w:rPr>
        <w:t xml:space="preserve">compensée à l’indice réel des </w:t>
      </w:r>
      <w:r w:rsidR="00A570F6" w:rsidRPr="00620C7C">
        <w:rPr>
          <w:rFonts w:cstheme="minorHAnsi"/>
        </w:rPr>
        <w:t>agents)</w:t>
      </w:r>
      <w:r w:rsidRPr="00620C7C">
        <w:rPr>
          <w:rFonts w:cstheme="minorHAnsi"/>
        </w:rPr>
        <w:t xml:space="preserve"> augmente r</w:t>
      </w:r>
      <w:r w:rsidR="007E28EA" w:rsidRPr="00620C7C">
        <w:rPr>
          <w:rFonts w:cstheme="minorHAnsi"/>
        </w:rPr>
        <w:t>égulièrement (+4,6% en 2016)</w:t>
      </w:r>
      <w:r w:rsidR="007D3020">
        <w:rPr>
          <w:rFonts w:cstheme="minorHAnsi"/>
        </w:rPr>
        <w:t xml:space="preserve">, </w:t>
      </w:r>
      <w:r w:rsidR="007E28EA" w:rsidRPr="00620C7C">
        <w:rPr>
          <w:rFonts w:cstheme="minorHAnsi"/>
        </w:rPr>
        <w:t xml:space="preserve">c’est la </w:t>
      </w:r>
      <w:r w:rsidRPr="00620C7C">
        <w:rPr>
          <w:rFonts w:cstheme="minorHAnsi"/>
        </w:rPr>
        <w:t>conséquence de conditions de travail qui</w:t>
      </w:r>
      <w:r w:rsidR="00EF2ABA" w:rsidRPr="00620C7C">
        <w:rPr>
          <w:rFonts w:cstheme="minorHAnsi"/>
        </w:rPr>
        <w:t xml:space="preserve"> deviennent inacceptables</w:t>
      </w:r>
      <w:r w:rsidR="00E82F28" w:rsidRPr="00620C7C">
        <w:rPr>
          <w:rFonts w:cstheme="minorHAnsi"/>
        </w:rPr>
        <w:t>, du</w:t>
      </w:r>
      <w:r w:rsidRPr="00620C7C">
        <w:rPr>
          <w:rFonts w:cstheme="minorHAnsi"/>
        </w:rPr>
        <w:t xml:space="preserve"> recul</w:t>
      </w:r>
      <w:r w:rsidR="00E82F28" w:rsidRPr="00620C7C">
        <w:rPr>
          <w:rFonts w:cstheme="minorHAnsi"/>
        </w:rPr>
        <w:t xml:space="preserve"> de l’âge de départ à la retraite</w:t>
      </w:r>
      <w:r w:rsidR="00A570F6" w:rsidRPr="00620C7C">
        <w:rPr>
          <w:rFonts w:cstheme="minorHAnsi"/>
        </w:rPr>
        <w:t>,</w:t>
      </w:r>
      <w:r w:rsidR="00073421">
        <w:rPr>
          <w:rFonts w:cstheme="minorHAnsi"/>
        </w:rPr>
        <w:t xml:space="preserve"> </w:t>
      </w:r>
      <w:r w:rsidR="00073421" w:rsidRPr="00620C7C">
        <w:rPr>
          <w:rFonts w:cstheme="minorHAnsi"/>
        </w:rPr>
        <w:t>etc.</w:t>
      </w:r>
      <w:r w:rsidR="00EF2ABA" w:rsidRPr="00620C7C">
        <w:rPr>
          <w:rFonts w:cstheme="minorHAnsi"/>
        </w:rPr>
        <w:t>…</w:t>
      </w:r>
    </w:p>
    <w:p w:rsidR="00EF2ABA" w:rsidRPr="00620C7C" w:rsidRDefault="00EF2ABA" w:rsidP="007D3020">
      <w:pPr>
        <w:pStyle w:val="Sansinterligne"/>
        <w:numPr>
          <w:ilvl w:val="0"/>
          <w:numId w:val="2"/>
        </w:numPr>
        <w:jc w:val="both"/>
        <w:rPr>
          <w:rFonts w:cstheme="minorHAnsi"/>
        </w:rPr>
      </w:pPr>
      <w:r w:rsidRPr="00620C7C">
        <w:rPr>
          <w:rFonts w:cstheme="minorHAnsi"/>
        </w:rPr>
        <w:t>La précarité des agents est grandissante : contrats à temps partiel imposé, recul du nombre de mise</w:t>
      </w:r>
      <w:r w:rsidR="007D3020">
        <w:rPr>
          <w:rFonts w:cstheme="minorHAnsi"/>
        </w:rPr>
        <w:t>s</w:t>
      </w:r>
      <w:r w:rsidRPr="00620C7C">
        <w:rPr>
          <w:rFonts w:cstheme="minorHAnsi"/>
        </w:rPr>
        <w:t xml:space="preserve"> en stage, accidents de la vie…</w:t>
      </w:r>
    </w:p>
    <w:p w:rsidR="00EF2ABA" w:rsidRPr="00620C7C" w:rsidRDefault="00EF2ABA" w:rsidP="007D3020">
      <w:pPr>
        <w:pStyle w:val="Sansinterligne"/>
        <w:jc w:val="both"/>
        <w:rPr>
          <w:rFonts w:cstheme="minorHAnsi"/>
        </w:rPr>
      </w:pPr>
    </w:p>
    <w:p w:rsidR="00EF2ABA" w:rsidRPr="007D3020" w:rsidRDefault="00EF2ABA" w:rsidP="007D3020">
      <w:pPr>
        <w:pStyle w:val="Sansinterligne"/>
        <w:jc w:val="both"/>
        <w:rPr>
          <w:rFonts w:cstheme="minorHAnsi"/>
          <w:b/>
        </w:rPr>
      </w:pPr>
      <w:r w:rsidRPr="007D3020">
        <w:rPr>
          <w:rFonts w:cstheme="minorHAnsi"/>
          <w:b/>
        </w:rPr>
        <w:t xml:space="preserve">Pour augmenter le budget du </w:t>
      </w:r>
      <w:r w:rsidR="00BC408D" w:rsidRPr="007D3020">
        <w:rPr>
          <w:rFonts w:cstheme="minorHAnsi"/>
          <w:b/>
        </w:rPr>
        <w:t>CGOS, il</w:t>
      </w:r>
      <w:r w:rsidRPr="007D3020">
        <w:rPr>
          <w:rFonts w:cstheme="minorHAnsi"/>
          <w:b/>
        </w:rPr>
        <w:t xml:space="preserve"> existe au moins une solution : déplafonner les cotisations !!! </w:t>
      </w:r>
    </w:p>
    <w:p w:rsidR="001C4F7A" w:rsidRPr="00620C7C" w:rsidRDefault="00BC408D" w:rsidP="007D3020">
      <w:pPr>
        <w:pStyle w:val="Sansinterligne"/>
        <w:jc w:val="both"/>
        <w:rPr>
          <w:rFonts w:cstheme="minorHAnsi"/>
        </w:rPr>
      </w:pPr>
      <w:r w:rsidRPr="00620C7C">
        <w:rPr>
          <w:rFonts w:cstheme="minorHAnsi"/>
        </w:rPr>
        <w:t>Cette revendication a été portée auprès du ministère à la demande du conseil d’administration, en juin 2016.</w:t>
      </w:r>
    </w:p>
    <w:p w:rsidR="008742D1" w:rsidRPr="00620C7C" w:rsidRDefault="00BC408D" w:rsidP="007D3020">
      <w:pPr>
        <w:pStyle w:val="Sansinterligne"/>
        <w:jc w:val="both"/>
        <w:rPr>
          <w:rFonts w:cstheme="minorHAnsi"/>
        </w:rPr>
      </w:pPr>
      <w:r w:rsidRPr="00620C7C">
        <w:rPr>
          <w:rFonts w:cstheme="minorHAnsi"/>
        </w:rPr>
        <w:lastRenderedPageBreak/>
        <w:t>Ni le gouvernement de l’époque</w:t>
      </w:r>
      <w:r w:rsidR="007D3020">
        <w:rPr>
          <w:rFonts w:cstheme="minorHAnsi"/>
        </w:rPr>
        <w:t>,</w:t>
      </w:r>
      <w:r w:rsidR="008E3E14">
        <w:rPr>
          <w:rFonts w:cstheme="minorHAnsi"/>
        </w:rPr>
        <w:t xml:space="preserve"> ni celui de Monsieur MACRON,</w:t>
      </w:r>
      <w:r w:rsidR="008E3E14" w:rsidRPr="00620C7C">
        <w:rPr>
          <w:rFonts w:cstheme="minorHAnsi"/>
        </w:rPr>
        <w:t xml:space="preserve"> nouvellement</w:t>
      </w:r>
      <w:r w:rsidRPr="00620C7C">
        <w:rPr>
          <w:rFonts w:cstheme="minorHAnsi"/>
        </w:rPr>
        <w:t xml:space="preserve"> élu n’ont été sensibles à la demande des hosp</w:t>
      </w:r>
      <w:r w:rsidR="00A570F6" w:rsidRPr="00620C7C">
        <w:rPr>
          <w:rFonts w:cstheme="minorHAnsi"/>
        </w:rPr>
        <w:t>italiers et</w:t>
      </w:r>
      <w:r w:rsidR="008742D1" w:rsidRPr="00620C7C">
        <w:rPr>
          <w:rFonts w:cstheme="minorHAnsi"/>
        </w:rPr>
        <w:t xml:space="preserve"> </w:t>
      </w:r>
      <w:r w:rsidRPr="00620C7C">
        <w:rPr>
          <w:rFonts w:cstheme="minorHAnsi"/>
        </w:rPr>
        <w:t>reste</w:t>
      </w:r>
      <w:r w:rsidR="00A570F6" w:rsidRPr="00620C7C">
        <w:rPr>
          <w:rFonts w:cstheme="minorHAnsi"/>
        </w:rPr>
        <w:t>nt</w:t>
      </w:r>
      <w:r w:rsidR="008742D1" w:rsidRPr="00620C7C">
        <w:rPr>
          <w:rFonts w:cstheme="minorHAnsi"/>
        </w:rPr>
        <w:t xml:space="preserve"> sourds </w:t>
      </w:r>
      <w:r w:rsidRPr="00620C7C">
        <w:rPr>
          <w:rFonts w:cstheme="minorHAnsi"/>
        </w:rPr>
        <w:t xml:space="preserve">à nos </w:t>
      </w:r>
      <w:r w:rsidR="00862C96" w:rsidRPr="00620C7C">
        <w:rPr>
          <w:rFonts w:cstheme="minorHAnsi"/>
        </w:rPr>
        <w:t>revendications, voire</w:t>
      </w:r>
      <w:r w:rsidR="00A570F6" w:rsidRPr="00620C7C">
        <w:rPr>
          <w:rFonts w:cstheme="minorHAnsi"/>
        </w:rPr>
        <w:t xml:space="preserve"> provocateurs en proposant un déplafonnement à enveloppe constante</w:t>
      </w:r>
      <w:r w:rsidR="007D3020">
        <w:rPr>
          <w:rFonts w:cstheme="minorHAnsi"/>
        </w:rPr>
        <w:t>,</w:t>
      </w:r>
      <w:r w:rsidR="00A570F6" w:rsidRPr="00620C7C">
        <w:rPr>
          <w:rFonts w:cstheme="minorHAnsi"/>
        </w:rPr>
        <w:t xml:space="preserve"> ce q</w:t>
      </w:r>
      <w:r w:rsidR="00862C96" w:rsidRPr="00620C7C">
        <w:rPr>
          <w:rFonts w:cstheme="minorHAnsi"/>
        </w:rPr>
        <w:t>u</w:t>
      </w:r>
      <w:r w:rsidR="00A570F6" w:rsidRPr="00620C7C">
        <w:rPr>
          <w:rFonts w:cstheme="minorHAnsi"/>
        </w:rPr>
        <w:t xml:space="preserve">i équivaut à </w:t>
      </w:r>
      <w:r w:rsidR="00862C96" w:rsidRPr="00620C7C">
        <w:rPr>
          <w:rFonts w:cstheme="minorHAnsi"/>
        </w:rPr>
        <w:t>baisser le taux de contribution.</w:t>
      </w:r>
    </w:p>
    <w:p w:rsidR="00BF36DE" w:rsidRPr="00620C7C" w:rsidRDefault="00BF36DE" w:rsidP="007D3020">
      <w:pPr>
        <w:pStyle w:val="Sansinterligne"/>
        <w:jc w:val="both"/>
        <w:rPr>
          <w:rFonts w:cstheme="minorHAnsi"/>
        </w:rPr>
      </w:pPr>
      <w:r w:rsidRPr="00620C7C">
        <w:rPr>
          <w:rFonts w:cstheme="minorHAnsi"/>
        </w:rPr>
        <w:t xml:space="preserve">Alors pour boucler le </w:t>
      </w:r>
      <w:r w:rsidR="00C12BB4" w:rsidRPr="00620C7C">
        <w:rPr>
          <w:rFonts w:cstheme="minorHAnsi"/>
        </w:rPr>
        <w:t>budget, on</w:t>
      </w:r>
      <w:r w:rsidRPr="00620C7C">
        <w:rPr>
          <w:rFonts w:cstheme="minorHAnsi"/>
        </w:rPr>
        <w:t xml:space="preserve"> </w:t>
      </w:r>
      <w:r w:rsidR="00862C96" w:rsidRPr="00620C7C">
        <w:rPr>
          <w:rFonts w:cstheme="minorHAnsi"/>
        </w:rPr>
        <w:t>supprime</w:t>
      </w:r>
      <w:r w:rsidR="008742D1" w:rsidRPr="00620C7C">
        <w:rPr>
          <w:rFonts w:cstheme="minorHAnsi"/>
        </w:rPr>
        <w:t>, diminu</w:t>
      </w:r>
      <w:r w:rsidR="00862C96" w:rsidRPr="00620C7C">
        <w:rPr>
          <w:rFonts w:cstheme="minorHAnsi"/>
        </w:rPr>
        <w:t>e</w:t>
      </w:r>
      <w:r w:rsidRPr="00620C7C">
        <w:rPr>
          <w:rFonts w:cstheme="minorHAnsi"/>
        </w:rPr>
        <w:t xml:space="preserve"> ou </w:t>
      </w:r>
      <w:r w:rsidR="00862C96" w:rsidRPr="00620C7C">
        <w:rPr>
          <w:rFonts w:cstheme="minorHAnsi"/>
        </w:rPr>
        <w:t>suspend</w:t>
      </w:r>
      <w:r w:rsidRPr="00620C7C">
        <w:rPr>
          <w:rFonts w:cstheme="minorHAnsi"/>
        </w:rPr>
        <w:t xml:space="preserve"> de</w:t>
      </w:r>
      <w:r w:rsidR="00862C96" w:rsidRPr="00620C7C">
        <w:rPr>
          <w:rFonts w:cstheme="minorHAnsi"/>
        </w:rPr>
        <w:t>s</w:t>
      </w:r>
      <w:r w:rsidRPr="00620C7C">
        <w:rPr>
          <w:rFonts w:cstheme="minorHAnsi"/>
        </w:rPr>
        <w:t xml:space="preserve"> prestations</w:t>
      </w:r>
      <w:r w:rsidR="00C12BB4" w:rsidRPr="00620C7C">
        <w:rPr>
          <w:rFonts w:cstheme="minorHAnsi"/>
        </w:rPr>
        <w:t xml:space="preserve"> (mariage,</w:t>
      </w:r>
      <w:r w:rsidR="00073421">
        <w:rPr>
          <w:rFonts w:cstheme="minorHAnsi"/>
        </w:rPr>
        <w:t xml:space="preserve"> </w:t>
      </w:r>
      <w:r w:rsidR="00C12BB4" w:rsidRPr="00620C7C">
        <w:rPr>
          <w:rFonts w:cstheme="minorHAnsi"/>
        </w:rPr>
        <w:t>décès,</w:t>
      </w:r>
      <w:r w:rsidR="00073421">
        <w:rPr>
          <w:rFonts w:cstheme="minorHAnsi"/>
        </w:rPr>
        <w:t xml:space="preserve"> </w:t>
      </w:r>
      <w:r w:rsidR="00C12BB4" w:rsidRPr="00620C7C">
        <w:rPr>
          <w:rFonts w:cstheme="minorHAnsi"/>
        </w:rPr>
        <w:t>aide</w:t>
      </w:r>
      <w:r w:rsidR="00073421">
        <w:rPr>
          <w:rFonts w:cstheme="minorHAnsi"/>
        </w:rPr>
        <w:t xml:space="preserve"> à </w:t>
      </w:r>
      <w:r w:rsidRPr="00620C7C">
        <w:rPr>
          <w:rFonts w:cstheme="minorHAnsi"/>
        </w:rPr>
        <w:t>l’adoption,</w:t>
      </w:r>
      <w:r w:rsidR="00073421">
        <w:rPr>
          <w:rFonts w:cstheme="minorHAnsi"/>
        </w:rPr>
        <w:t xml:space="preserve"> </w:t>
      </w:r>
      <w:r w:rsidRPr="00620C7C">
        <w:rPr>
          <w:rFonts w:cstheme="minorHAnsi"/>
        </w:rPr>
        <w:t>maladie,</w:t>
      </w:r>
      <w:r w:rsidR="00073421">
        <w:rPr>
          <w:rFonts w:cstheme="minorHAnsi"/>
        </w:rPr>
        <w:t xml:space="preserve"> </w:t>
      </w:r>
      <w:r w:rsidRPr="00620C7C">
        <w:rPr>
          <w:rFonts w:cstheme="minorHAnsi"/>
        </w:rPr>
        <w:t>coupon-sport</w:t>
      </w:r>
      <w:r w:rsidR="00B8420D">
        <w:rPr>
          <w:rFonts w:cstheme="minorHAnsi"/>
        </w:rPr>
        <w:t xml:space="preserve"> .</w:t>
      </w:r>
      <w:r w:rsidRPr="00620C7C">
        <w:rPr>
          <w:rFonts w:cstheme="minorHAnsi"/>
        </w:rPr>
        <w:t>..)</w:t>
      </w:r>
    </w:p>
    <w:p w:rsidR="00C12BB4" w:rsidRPr="00620C7C" w:rsidRDefault="00C12BB4" w:rsidP="007D3020">
      <w:pPr>
        <w:pStyle w:val="Sansinterligne"/>
        <w:jc w:val="both"/>
        <w:rPr>
          <w:rFonts w:cstheme="minorHAnsi"/>
        </w:rPr>
      </w:pPr>
    </w:p>
    <w:p w:rsidR="00C12BB4" w:rsidRPr="008E3E14" w:rsidRDefault="008E3E14" w:rsidP="007D3020">
      <w:pPr>
        <w:pStyle w:val="Sansinterligne"/>
        <w:jc w:val="both"/>
        <w:rPr>
          <w:rFonts w:cstheme="minorHAnsi"/>
        </w:rPr>
      </w:pPr>
      <w:r w:rsidRPr="008E3E14">
        <w:rPr>
          <w:rFonts w:cstheme="minorHAnsi"/>
        </w:rPr>
        <w:t xml:space="preserve">La fédération </w:t>
      </w:r>
      <w:r w:rsidR="00C12BB4" w:rsidRPr="008E3E14">
        <w:rPr>
          <w:rFonts w:cstheme="minorHAnsi"/>
          <w:b/>
        </w:rPr>
        <w:t xml:space="preserve">SUD </w:t>
      </w:r>
      <w:r w:rsidRPr="008E3E14">
        <w:rPr>
          <w:rFonts w:cstheme="minorHAnsi"/>
          <w:b/>
        </w:rPr>
        <w:t xml:space="preserve">Sante Sociaux </w:t>
      </w:r>
      <w:r w:rsidR="00C12BB4" w:rsidRPr="008E3E14">
        <w:rPr>
          <w:rFonts w:cstheme="minorHAnsi"/>
        </w:rPr>
        <w:t>a pris la responsabilité de ne pas accepter toutes ces mesures régressives p</w:t>
      </w:r>
      <w:r w:rsidR="007E28EA" w:rsidRPr="008E3E14">
        <w:rPr>
          <w:rFonts w:cstheme="minorHAnsi"/>
        </w:rPr>
        <w:t xml:space="preserve">our mettre les dirigeants face </w:t>
      </w:r>
      <w:r w:rsidR="00620C7C" w:rsidRPr="008E3E14">
        <w:rPr>
          <w:rFonts w:cstheme="minorHAnsi"/>
        </w:rPr>
        <w:t>à leur décision.</w:t>
      </w:r>
    </w:p>
    <w:p w:rsidR="00D10F8D" w:rsidRPr="008E3E14" w:rsidRDefault="00C12BB4" w:rsidP="007D3020">
      <w:pPr>
        <w:pStyle w:val="Sansinterligne"/>
        <w:jc w:val="both"/>
        <w:rPr>
          <w:rFonts w:cstheme="minorHAnsi"/>
        </w:rPr>
      </w:pPr>
      <w:r w:rsidRPr="008E3E14">
        <w:rPr>
          <w:rFonts w:cstheme="minorHAnsi"/>
        </w:rPr>
        <w:t>Pour nous, être responsables ne signifie pas être à la botte des ministères et</w:t>
      </w:r>
      <w:r w:rsidR="00862C96" w:rsidRPr="008E3E14">
        <w:rPr>
          <w:rFonts w:cstheme="minorHAnsi"/>
        </w:rPr>
        <w:t xml:space="preserve"> de</w:t>
      </w:r>
      <w:r w:rsidRPr="008E3E14">
        <w:rPr>
          <w:rFonts w:cstheme="minorHAnsi"/>
        </w:rPr>
        <w:t xml:space="preserve"> la FHF mais en première ligne dans la défense de l’intérêt des agents que nous </w:t>
      </w:r>
      <w:r w:rsidR="00A570F6" w:rsidRPr="008E3E14">
        <w:rPr>
          <w:rFonts w:cstheme="minorHAnsi"/>
        </w:rPr>
        <w:t>représentons. Le paritarisme, que nous</w:t>
      </w:r>
      <w:r w:rsidR="00620C7C" w:rsidRPr="008E3E14">
        <w:rPr>
          <w:rFonts w:cstheme="minorHAnsi"/>
        </w:rPr>
        <w:t xml:space="preserve"> dénonçons</w:t>
      </w:r>
      <w:r w:rsidR="00073421" w:rsidRPr="008E3E14">
        <w:rPr>
          <w:rFonts w:cstheme="minorHAnsi"/>
        </w:rPr>
        <w:t>, fait</w:t>
      </w:r>
      <w:r w:rsidR="00A570F6" w:rsidRPr="008E3E14">
        <w:rPr>
          <w:rFonts w:cstheme="minorHAnsi"/>
        </w:rPr>
        <w:t xml:space="preserve"> appliquer des mesures que nous jugeons inaccepta</w:t>
      </w:r>
      <w:r w:rsidR="007E28EA" w:rsidRPr="008E3E14">
        <w:rPr>
          <w:rFonts w:cstheme="minorHAnsi"/>
        </w:rPr>
        <w:t>bles pour les agents par</w:t>
      </w:r>
      <w:r w:rsidR="00A570F6" w:rsidRPr="008E3E14">
        <w:rPr>
          <w:rFonts w:cstheme="minorHAnsi"/>
        </w:rPr>
        <w:t xml:space="preserve"> </w:t>
      </w:r>
      <w:r w:rsidR="008742D1" w:rsidRPr="008E3E14">
        <w:rPr>
          <w:rFonts w:cstheme="minorHAnsi"/>
        </w:rPr>
        <w:t>la voix p</w:t>
      </w:r>
      <w:r w:rsidR="00A570F6" w:rsidRPr="008E3E14">
        <w:rPr>
          <w:rFonts w:cstheme="minorHAnsi"/>
        </w:rPr>
        <w:t xml:space="preserve">répondérante du président FHF. Cependant un vote </w:t>
      </w:r>
      <w:r w:rsidR="00862C96" w:rsidRPr="008E3E14">
        <w:rPr>
          <w:rFonts w:cstheme="minorHAnsi"/>
        </w:rPr>
        <w:t>unanime, contestataire</w:t>
      </w:r>
      <w:r w:rsidR="00A570F6" w:rsidRPr="008E3E14">
        <w:rPr>
          <w:rFonts w:cstheme="minorHAnsi"/>
        </w:rPr>
        <w:t xml:space="preserve"> </w:t>
      </w:r>
      <w:r w:rsidR="00862C96" w:rsidRPr="008E3E14">
        <w:rPr>
          <w:rFonts w:cstheme="minorHAnsi"/>
        </w:rPr>
        <w:t xml:space="preserve">de toutes les organisations syndicales </w:t>
      </w:r>
      <w:r w:rsidR="00073421" w:rsidRPr="008E3E14">
        <w:rPr>
          <w:rFonts w:cstheme="minorHAnsi"/>
        </w:rPr>
        <w:t>aurait pu</w:t>
      </w:r>
      <w:r w:rsidR="00A570F6" w:rsidRPr="008E3E14">
        <w:rPr>
          <w:rFonts w:cstheme="minorHAnsi"/>
        </w:rPr>
        <w:t xml:space="preserve"> avoir un impact sur les orientations </w:t>
      </w:r>
      <w:r w:rsidR="00862C96" w:rsidRPr="008E3E14">
        <w:rPr>
          <w:rFonts w:cstheme="minorHAnsi"/>
        </w:rPr>
        <w:t>prises, voire</w:t>
      </w:r>
      <w:r w:rsidR="00A570F6" w:rsidRPr="008E3E14">
        <w:rPr>
          <w:rFonts w:cstheme="minorHAnsi"/>
        </w:rPr>
        <w:t xml:space="preserve"> faire renoncer à </w:t>
      </w:r>
      <w:r w:rsidR="00862C96" w:rsidRPr="008E3E14">
        <w:rPr>
          <w:rFonts w:cstheme="minorHAnsi"/>
        </w:rPr>
        <w:t>certaines</w:t>
      </w:r>
      <w:r w:rsidR="00A570F6" w:rsidRPr="008E3E14">
        <w:rPr>
          <w:rFonts w:cstheme="minorHAnsi"/>
        </w:rPr>
        <w:t xml:space="preserve"> !!!  </w:t>
      </w:r>
    </w:p>
    <w:p w:rsidR="00D10F8D" w:rsidRPr="008E3E14" w:rsidRDefault="00D10F8D" w:rsidP="007D3020">
      <w:pPr>
        <w:pStyle w:val="Sansinterligne"/>
        <w:jc w:val="both"/>
        <w:rPr>
          <w:rFonts w:cstheme="minorHAnsi"/>
        </w:rPr>
      </w:pPr>
      <w:r w:rsidRPr="008E3E14">
        <w:rPr>
          <w:rFonts w:cstheme="minorHAnsi"/>
        </w:rPr>
        <w:t>A l’assemblée générale de juin, la</w:t>
      </w:r>
      <w:r w:rsidR="00862C96" w:rsidRPr="008E3E14">
        <w:rPr>
          <w:rFonts w:cstheme="minorHAnsi"/>
        </w:rPr>
        <w:t xml:space="preserve"> </w:t>
      </w:r>
      <w:r w:rsidR="00862C96" w:rsidRPr="008E3E14">
        <w:rPr>
          <w:rFonts w:cstheme="minorHAnsi"/>
          <w:b/>
        </w:rPr>
        <w:t>CFDT</w:t>
      </w:r>
      <w:r w:rsidR="00862C96" w:rsidRPr="008E3E14">
        <w:rPr>
          <w:rFonts w:cstheme="minorHAnsi"/>
        </w:rPr>
        <w:t> est la seule</w:t>
      </w:r>
      <w:r w:rsidRPr="008E3E14">
        <w:rPr>
          <w:rFonts w:cstheme="minorHAnsi"/>
        </w:rPr>
        <w:t xml:space="preserve"> organisation syndicale</w:t>
      </w:r>
      <w:r w:rsidR="00862C96" w:rsidRPr="008E3E14">
        <w:rPr>
          <w:rFonts w:cstheme="minorHAnsi"/>
        </w:rPr>
        <w:t xml:space="preserve"> à av</w:t>
      </w:r>
      <w:r w:rsidRPr="008E3E14">
        <w:rPr>
          <w:rFonts w:cstheme="minorHAnsi"/>
        </w:rPr>
        <w:t xml:space="preserve">oir suivi la FHF dans ses choix. </w:t>
      </w:r>
    </w:p>
    <w:p w:rsidR="00927645" w:rsidRPr="008E3E14" w:rsidRDefault="00D10F8D" w:rsidP="007D3020">
      <w:pPr>
        <w:pStyle w:val="Sansinterligne"/>
        <w:jc w:val="both"/>
        <w:rPr>
          <w:rFonts w:cstheme="minorHAnsi"/>
        </w:rPr>
      </w:pPr>
      <w:r w:rsidRPr="008E3E14">
        <w:rPr>
          <w:rFonts w:cstheme="minorHAnsi"/>
        </w:rPr>
        <w:t xml:space="preserve">Et en 2018 que va-t-elle proposer </w:t>
      </w:r>
      <w:r w:rsidR="00927645" w:rsidRPr="008E3E14">
        <w:rPr>
          <w:rFonts w:cstheme="minorHAnsi"/>
        </w:rPr>
        <w:t>de sacrifier</w:t>
      </w:r>
      <w:r w:rsidRPr="008E3E14">
        <w:rPr>
          <w:rFonts w:cstheme="minorHAnsi"/>
        </w:rPr>
        <w:t xml:space="preserve"> pour </w:t>
      </w:r>
      <w:r w:rsidR="00073421" w:rsidRPr="008E3E14">
        <w:rPr>
          <w:rFonts w:cstheme="minorHAnsi"/>
        </w:rPr>
        <w:t>‘’</w:t>
      </w:r>
      <w:r w:rsidRPr="008E3E14">
        <w:rPr>
          <w:rFonts w:cstheme="minorHAnsi"/>
        </w:rPr>
        <w:t>sauver</w:t>
      </w:r>
      <w:r w:rsidR="00073421" w:rsidRPr="008E3E14">
        <w:rPr>
          <w:rFonts w:cstheme="minorHAnsi"/>
        </w:rPr>
        <w:t>‘’ </w:t>
      </w:r>
      <w:r w:rsidRPr="008E3E14">
        <w:rPr>
          <w:rFonts w:cstheme="minorHAnsi"/>
        </w:rPr>
        <w:t>le CGOS</w:t>
      </w:r>
      <w:r w:rsidR="007D3020" w:rsidRPr="008E3E14">
        <w:rPr>
          <w:rFonts w:cstheme="minorHAnsi"/>
        </w:rPr>
        <w:t> ?</w:t>
      </w:r>
    </w:p>
    <w:p w:rsidR="00927645" w:rsidRPr="00620C7C" w:rsidRDefault="00927645" w:rsidP="007D3020">
      <w:pPr>
        <w:pStyle w:val="Sansinterligne"/>
        <w:jc w:val="both"/>
        <w:rPr>
          <w:rFonts w:cstheme="minorHAnsi"/>
          <w:color w:val="FF0000"/>
        </w:rPr>
      </w:pPr>
    </w:p>
    <w:p w:rsidR="007D2EDA" w:rsidRPr="007D3020" w:rsidRDefault="00372E3D" w:rsidP="007D3020">
      <w:pPr>
        <w:pStyle w:val="Sansinterligne"/>
        <w:jc w:val="both"/>
        <w:rPr>
          <w:rFonts w:cstheme="minorHAnsi"/>
          <w:b/>
        </w:rPr>
      </w:pPr>
      <w:r w:rsidRPr="007D3020">
        <w:rPr>
          <w:rFonts w:cstheme="minorHAnsi"/>
          <w:b/>
        </w:rPr>
        <w:t>N</w:t>
      </w:r>
      <w:r w:rsidR="007D2EDA" w:rsidRPr="007D3020">
        <w:rPr>
          <w:rFonts w:cstheme="minorHAnsi"/>
          <w:b/>
        </w:rPr>
        <w:t xml:space="preserve">ous </w:t>
      </w:r>
      <w:r w:rsidR="00D10F8D" w:rsidRPr="007D3020">
        <w:rPr>
          <w:rFonts w:cstheme="minorHAnsi"/>
          <w:b/>
        </w:rPr>
        <w:t xml:space="preserve">avons, plus que </w:t>
      </w:r>
      <w:r w:rsidR="00927645" w:rsidRPr="007D3020">
        <w:rPr>
          <w:rFonts w:cstheme="minorHAnsi"/>
          <w:b/>
        </w:rPr>
        <w:t>jamais, besoin</w:t>
      </w:r>
      <w:r w:rsidR="007D2EDA" w:rsidRPr="007D3020">
        <w:rPr>
          <w:rFonts w:cstheme="minorHAnsi"/>
          <w:b/>
        </w:rPr>
        <w:t xml:space="preserve"> du CGOS pour éviter la noyade sociale de trop de collègues et nos </w:t>
      </w:r>
      <w:r w:rsidR="00663556" w:rsidRPr="007D3020">
        <w:rPr>
          <w:rFonts w:cstheme="minorHAnsi"/>
          <w:b/>
        </w:rPr>
        <w:t>représentants-es</w:t>
      </w:r>
      <w:r w:rsidR="007D2EDA" w:rsidRPr="007D3020">
        <w:rPr>
          <w:rFonts w:cstheme="minorHAnsi"/>
          <w:b/>
        </w:rPr>
        <w:t xml:space="preserve"> </w:t>
      </w:r>
      <w:r w:rsidR="00D10F8D" w:rsidRPr="007D3020">
        <w:rPr>
          <w:rFonts w:cstheme="minorHAnsi"/>
          <w:b/>
        </w:rPr>
        <w:t xml:space="preserve">SUD </w:t>
      </w:r>
      <w:r w:rsidR="007D2EDA" w:rsidRPr="007D3020">
        <w:rPr>
          <w:rFonts w:cstheme="minorHAnsi"/>
          <w:b/>
        </w:rPr>
        <w:t>se battent pour sauver les maigres prestations distribuées.</w:t>
      </w:r>
    </w:p>
    <w:p w:rsidR="007D2EDA" w:rsidRPr="00620C7C" w:rsidRDefault="007D2EDA" w:rsidP="007D3020">
      <w:pPr>
        <w:pStyle w:val="Sansinterligne"/>
        <w:jc w:val="both"/>
        <w:rPr>
          <w:rFonts w:cstheme="minorHAnsi"/>
        </w:rPr>
      </w:pPr>
    </w:p>
    <w:p w:rsidR="00642463" w:rsidRPr="00620C7C" w:rsidRDefault="00642463" w:rsidP="007D3020">
      <w:pPr>
        <w:pStyle w:val="Sansinterligne"/>
        <w:jc w:val="both"/>
        <w:rPr>
          <w:rFonts w:cstheme="minorHAnsi"/>
        </w:rPr>
      </w:pPr>
      <w:r w:rsidRPr="00620C7C">
        <w:rPr>
          <w:rFonts w:cstheme="minorHAnsi"/>
        </w:rPr>
        <w:t xml:space="preserve"> </w:t>
      </w:r>
    </w:p>
    <w:p w:rsidR="00372E3D" w:rsidRPr="00620C7C" w:rsidRDefault="00372E3D" w:rsidP="007D3020">
      <w:pPr>
        <w:pStyle w:val="Sansinterligne"/>
        <w:jc w:val="both"/>
        <w:rPr>
          <w:rFonts w:cstheme="minorHAnsi"/>
        </w:rPr>
      </w:pPr>
    </w:p>
    <w:p w:rsidR="002479DD" w:rsidRPr="00620C7C" w:rsidRDefault="002479DD" w:rsidP="007D3020">
      <w:pPr>
        <w:pStyle w:val="Sansinterligne"/>
        <w:jc w:val="both"/>
        <w:rPr>
          <w:rFonts w:cstheme="minorHAnsi"/>
          <w:b/>
          <w:color w:val="FF0000"/>
        </w:rPr>
      </w:pPr>
    </w:p>
    <w:p w:rsidR="000F1F21" w:rsidRPr="00620C7C" w:rsidRDefault="000F1F21" w:rsidP="007D3020">
      <w:pPr>
        <w:pStyle w:val="Sansinterligne"/>
        <w:jc w:val="both"/>
        <w:rPr>
          <w:rFonts w:cstheme="minorHAnsi"/>
          <w:b/>
          <w:color w:val="FF0000"/>
        </w:rPr>
      </w:pPr>
    </w:p>
    <w:p w:rsidR="002479DD" w:rsidRPr="00620C7C" w:rsidRDefault="002479DD" w:rsidP="007D3020">
      <w:pPr>
        <w:pStyle w:val="Sansinterligne"/>
        <w:jc w:val="both"/>
        <w:rPr>
          <w:rFonts w:cstheme="minorHAnsi"/>
          <w:b/>
          <w:color w:val="FF0000"/>
        </w:rPr>
      </w:pPr>
    </w:p>
    <w:p w:rsidR="002479DD" w:rsidRPr="00620C7C" w:rsidRDefault="002479DD" w:rsidP="007D3020">
      <w:pPr>
        <w:pStyle w:val="Sansinterligne"/>
        <w:jc w:val="both"/>
        <w:rPr>
          <w:rFonts w:cstheme="minorHAnsi"/>
          <w:b/>
          <w:color w:val="FF0000"/>
        </w:rPr>
      </w:pPr>
    </w:p>
    <w:p w:rsidR="002479DD" w:rsidRPr="00620C7C" w:rsidRDefault="002479DD" w:rsidP="007D3020">
      <w:pPr>
        <w:pStyle w:val="Sansinterligne"/>
        <w:jc w:val="both"/>
        <w:rPr>
          <w:rFonts w:cstheme="minorHAnsi"/>
          <w:b/>
          <w:color w:val="FF0000"/>
        </w:rPr>
      </w:pPr>
    </w:p>
    <w:p w:rsidR="002479DD" w:rsidRPr="00620C7C" w:rsidRDefault="002479DD" w:rsidP="007D3020">
      <w:pPr>
        <w:pStyle w:val="Sansinterligne"/>
        <w:jc w:val="both"/>
        <w:rPr>
          <w:rFonts w:cstheme="minorHAnsi"/>
          <w:b/>
          <w:color w:val="FF0000"/>
        </w:rPr>
      </w:pPr>
    </w:p>
    <w:p w:rsidR="002479DD" w:rsidRPr="00620C7C" w:rsidRDefault="002479DD" w:rsidP="007D3020">
      <w:pPr>
        <w:pStyle w:val="Sansinterligne"/>
        <w:jc w:val="both"/>
        <w:rPr>
          <w:rFonts w:cstheme="minorHAnsi"/>
          <w:b/>
          <w:color w:val="FF0000"/>
        </w:rPr>
      </w:pPr>
    </w:p>
    <w:p w:rsidR="002479DD" w:rsidRPr="00620C7C" w:rsidRDefault="002479DD" w:rsidP="00C22DC0">
      <w:pPr>
        <w:pStyle w:val="Sansinterligne"/>
        <w:rPr>
          <w:rFonts w:cstheme="minorHAnsi"/>
          <w:b/>
          <w:color w:val="FF0000"/>
        </w:rPr>
      </w:pPr>
    </w:p>
    <w:p w:rsidR="002479DD" w:rsidRPr="002479DD" w:rsidRDefault="002479DD" w:rsidP="00C22DC0">
      <w:pPr>
        <w:pStyle w:val="Sansinterlig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2479DD" w:rsidRPr="002479DD" w:rsidSect="0093581D">
      <w:type w:val="continuous"/>
      <w:pgSz w:w="11906" w:h="16838"/>
      <w:pgMar w:top="454" w:right="720" w:bottom="720" w:left="720" w:header="709" w:footer="153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78" w:rsidRDefault="002C3178" w:rsidP="00C22DC0">
      <w:pPr>
        <w:spacing w:after="0" w:line="240" w:lineRule="auto"/>
      </w:pPr>
      <w:r>
        <w:separator/>
      </w:r>
    </w:p>
  </w:endnote>
  <w:endnote w:type="continuationSeparator" w:id="0">
    <w:p w:rsidR="002C3178" w:rsidRDefault="002C3178" w:rsidP="00C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928"/>
    </w:tblGrid>
    <w:tr w:rsidR="0021281F" w:rsidTr="00763A90">
      <w:tc>
        <w:tcPr>
          <w:tcW w:w="8505" w:type="dxa"/>
          <w:vAlign w:val="center"/>
        </w:tcPr>
        <w:p w:rsidR="00C83158" w:rsidRDefault="0021281F" w:rsidP="0021281F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>Fédération Sud Santé-Sociaux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70, rue Philippe de Girard 75018 PARIS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Tel : 01 40 33 85 00</w:t>
          </w:r>
          <w:r w:rsidR="00D71AC1">
            <w:rPr>
              <w:sz w:val="20"/>
              <w:szCs w:val="20"/>
            </w:rPr>
            <w:t xml:space="preserve"> </w:t>
          </w:r>
        </w:p>
        <w:p w:rsidR="008E4A31" w:rsidRPr="008E4A31" w:rsidRDefault="0021281F" w:rsidP="00C83158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 xml:space="preserve"> Fax : 01 43 49 28 67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 xml:space="preserve">Site Internet : </w:t>
          </w:r>
          <w:hyperlink r:id="rId1" w:history="1">
            <w:r w:rsidR="00C83158" w:rsidRPr="00417F77">
              <w:rPr>
                <w:rStyle w:val="Lienhypertexte"/>
                <w:sz w:val="20"/>
                <w:szCs w:val="20"/>
              </w:rPr>
              <w:t>www.sudsantesociaux.org</w:t>
            </w:r>
          </w:hyperlink>
          <w:r w:rsidR="00C83158">
            <w:rPr>
              <w:sz w:val="20"/>
              <w:szCs w:val="20"/>
            </w:rPr>
            <w:t xml:space="preserve"> contact@sudsante</w:t>
          </w:r>
          <w:r w:rsidR="008E4A31">
            <w:rPr>
              <w:sz w:val="20"/>
              <w:szCs w:val="20"/>
            </w:rPr>
            <w:t>sociaux.org</w:t>
          </w:r>
        </w:p>
      </w:tc>
      <w:tc>
        <w:tcPr>
          <w:tcW w:w="1928" w:type="dxa"/>
          <w:vAlign w:val="center"/>
        </w:tcPr>
        <w:p w:rsidR="0021281F" w:rsidRDefault="009803D6" w:rsidP="0021281F">
          <w:pPr>
            <w:pStyle w:val="Pieddepage"/>
            <w:jc w:val="center"/>
          </w:pPr>
          <w:r>
            <w:rPr>
              <w:noProof/>
              <w:lang w:eastAsia="fr-FR"/>
            </w:rPr>
            <w:drawing>
              <wp:inline distT="0" distB="0" distL="0" distR="0">
                <wp:extent cx="704850" cy="704850"/>
                <wp:effectExtent l="0" t="0" r="0" b="0"/>
                <wp:docPr id="1" name="Image 1" descr="Z:\modèles et logos\Unitag_QRCode_143030076858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modèles et logos\Unitag_QRCode_143030076858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2DC0" w:rsidRDefault="00C22DC0" w:rsidP="002128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78" w:rsidRDefault="002C3178" w:rsidP="00C22DC0">
      <w:pPr>
        <w:spacing w:after="0" w:line="240" w:lineRule="auto"/>
      </w:pPr>
      <w:r>
        <w:separator/>
      </w:r>
    </w:p>
  </w:footnote>
  <w:footnote w:type="continuationSeparator" w:id="0">
    <w:p w:rsidR="002C3178" w:rsidRDefault="002C3178" w:rsidP="00C22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75CA6"/>
    <w:multiLevelType w:val="hybridMultilevel"/>
    <w:tmpl w:val="0262D0B4"/>
    <w:lvl w:ilvl="0" w:tplc="19D42190">
      <w:numFmt w:val="bullet"/>
      <w:lvlText w:val="-"/>
      <w:lvlJc w:val="left"/>
      <w:pPr>
        <w:ind w:left="612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>
    <w:nsid w:val="74094557"/>
    <w:multiLevelType w:val="hybridMultilevel"/>
    <w:tmpl w:val="EA4AC584"/>
    <w:lvl w:ilvl="0" w:tplc="855EF3A0">
      <w:numFmt w:val="bullet"/>
      <w:lvlText w:val="-"/>
      <w:lvlJc w:val="left"/>
      <w:pPr>
        <w:ind w:left="49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D4"/>
    <w:rsid w:val="000320B4"/>
    <w:rsid w:val="00073421"/>
    <w:rsid w:val="000740AF"/>
    <w:rsid w:val="000B1BE3"/>
    <w:rsid w:val="000B71E4"/>
    <w:rsid w:val="000C48E6"/>
    <w:rsid w:val="000F1F21"/>
    <w:rsid w:val="000F38A1"/>
    <w:rsid w:val="00136F78"/>
    <w:rsid w:val="00163AB0"/>
    <w:rsid w:val="00172696"/>
    <w:rsid w:val="001A5000"/>
    <w:rsid w:val="001C2573"/>
    <w:rsid w:val="001C4F7A"/>
    <w:rsid w:val="0021281F"/>
    <w:rsid w:val="002479DD"/>
    <w:rsid w:val="00254F04"/>
    <w:rsid w:val="002664B2"/>
    <w:rsid w:val="00281B67"/>
    <w:rsid w:val="002C3178"/>
    <w:rsid w:val="002C4A16"/>
    <w:rsid w:val="0033607F"/>
    <w:rsid w:val="003366C1"/>
    <w:rsid w:val="0035514B"/>
    <w:rsid w:val="00372E3D"/>
    <w:rsid w:val="003757DA"/>
    <w:rsid w:val="003F1EC6"/>
    <w:rsid w:val="003F2479"/>
    <w:rsid w:val="00412D96"/>
    <w:rsid w:val="00417B20"/>
    <w:rsid w:val="0042352C"/>
    <w:rsid w:val="004C6306"/>
    <w:rsid w:val="004F078E"/>
    <w:rsid w:val="00511BE1"/>
    <w:rsid w:val="00582DF9"/>
    <w:rsid w:val="00600547"/>
    <w:rsid w:val="00620C7C"/>
    <w:rsid w:val="00621BA1"/>
    <w:rsid w:val="00642463"/>
    <w:rsid w:val="00663556"/>
    <w:rsid w:val="00692D9E"/>
    <w:rsid w:val="007404CD"/>
    <w:rsid w:val="0074698D"/>
    <w:rsid w:val="00763A90"/>
    <w:rsid w:val="00765D77"/>
    <w:rsid w:val="007B2E3E"/>
    <w:rsid w:val="007C469F"/>
    <w:rsid w:val="007D2EDA"/>
    <w:rsid w:val="007D3020"/>
    <w:rsid w:val="007E28EA"/>
    <w:rsid w:val="007E678D"/>
    <w:rsid w:val="00831CF2"/>
    <w:rsid w:val="00862C96"/>
    <w:rsid w:val="008742D1"/>
    <w:rsid w:val="008902C2"/>
    <w:rsid w:val="00890B13"/>
    <w:rsid w:val="008B594A"/>
    <w:rsid w:val="008E3E14"/>
    <w:rsid w:val="008E4A31"/>
    <w:rsid w:val="008E7A73"/>
    <w:rsid w:val="00923F32"/>
    <w:rsid w:val="00927645"/>
    <w:rsid w:val="0093581D"/>
    <w:rsid w:val="009461D5"/>
    <w:rsid w:val="009500C2"/>
    <w:rsid w:val="00951041"/>
    <w:rsid w:val="00976F6A"/>
    <w:rsid w:val="009803D6"/>
    <w:rsid w:val="00A13142"/>
    <w:rsid w:val="00A570F6"/>
    <w:rsid w:val="00AF41FA"/>
    <w:rsid w:val="00B07694"/>
    <w:rsid w:val="00B745F5"/>
    <w:rsid w:val="00B8420D"/>
    <w:rsid w:val="00BC408D"/>
    <w:rsid w:val="00BF36DE"/>
    <w:rsid w:val="00C12BB4"/>
    <w:rsid w:val="00C22DC0"/>
    <w:rsid w:val="00C83158"/>
    <w:rsid w:val="00CE0230"/>
    <w:rsid w:val="00D10F8D"/>
    <w:rsid w:val="00D12803"/>
    <w:rsid w:val="00D71AC1"/>
    <w:rsid w:val="00D7711F"/>
    <w:rsid w:val="00DC20CC"/>
    <w:rsid w:val="00E32298"/>
    <w:rsid w:val="00E82F28"/>
    <w:rsid w:val="00EA2FFD"/>
    <w:rsid w:val="00EF2ABA"/>
    <w:rsid w:val="00F40893"/>
    <w:rsid w:val="00F51AC9"/>
    <w:rsid w:val="00F6228A"/>
    <w:rsid w:val="00F7246C"/>
    <w:rsid w:val="00F85FB2"/>
    <w:rsid w:val="00F95C1D"/>
    <w:rsid w:val="00FD2ED4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udsantesocia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46DE-3AF6-4D76-8B00-283C8906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SUD SANTE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Bernard</dc:creator>
  <cp:lastModifiedBy>Jean Vignes</cp:lastModifiedBy>
  <cp:revision>2</cp:revision>
  <cp:lastPrinted>2013-11-18T12:47:00Z</cp:lastPrinted>
  <dcterms:created xsi:type="dcterms:W3CDTF">2017-10-09T08:26:00Z</dcterms:created>
  <dcterms:modified xsi:type="dcterms:W3CDTF">2017-10-09T08:26:00Z</dcterms:modified>
</cp:coreProperties>
</file>